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15255E84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F1186">
        <w:rPr>
          <w:sz w:val="28"/>
          <w:szCs w:val="28"/>
        </w:rPr>
        <w:t xml:space="preserve">      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06634D">
        <w:rPr>
          <w:bCs/>
          <w:color w:val="000099"/>
          <w:sz w:val="28"/>
          <w:szCs w:val="28"/>
        </w:rPr>
        <w:t>859-2603</w:t>
      </w:r>
      <w:r w:rsidR="00A41B02">
        <w:rPr>
          <w:bCs/>
          <w:color w:val="000099"/>
          <w:sz w:val="28"/>
          <w:szCs w:val="28"/>
        </w:rPr>
        <w:t>/202</w:t>
      </w:r>
      <w:r w:rsidR="0006634D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096BAA" w:rsidP="00B75160" w14:paraId="21D3DCA9" w14:textId="491CC30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делу об административном правонарушении</w:t>
      </w:r>
    </w:p>
    <w:p w:rsidR="00096BAA" w:rsidRPr="00286A08" w:rsidP="00B75160" w14:paraId="0EE6D8ED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6C9C6F4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 мая 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5A584D6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CC683A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CC683A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31617139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06634D">
        <w:rPr>
          <w:color w:val="000099"/>
          <w:sz w:val="28"/>
          <w:szCs w:val="28"/>
        </w:rPr>
        <w:t>Лухтур</w:t>
      </w:r>
      <w:r w:rsidR="00236261">
        <w:rPr>
          <w:color w:val="000099"/>
          <w:sz w:val="28"/>
          <w:szCs w:val="28"/>
        </w:rPr>
        <w:t>а</w:t>
      </w:r>
      <w:r w:rsidR="0006634D">
        <w:rPr>
          <w:color w:val="000099"/>
          <w:sz w:val="28"/>
          <w:szCs w:val="28"/>
        </w:rPr>
        <w:t xml:space="preserve"> Никиты Алексеевича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4C6CB5">
        <w:rPr>
          <w:color w:val="000099"/>
          <w:sz w:val="28"/>
          <w:szCs w:val="28"/>
        </w:rPr>
        <w:t>*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  <w:r w:rsidR="00C3529C">
        <w:rPr>
          <w:sz w:val="28"/>
          <w:szCs w:val="28"/>
        </w:rPr>
        <w:t xml:space="preserve"> </w:t>
      </w: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35EA63D0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15.03.2024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06:45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ул. </w:t>
      </w:r>
      <w:r w:rsidR="004C6CB5">
        <w:rPr>
          <w:color w:val="000099"/>
          <w:sz w:val="28"/>
          <w:szCs w:val="28"/>
        </w:rPr>
        <w:t>*</w:t>
      </w:r>
      <w:r w:rsidR="00EF7CA9">
        <w:rPr>
          <w:color w:val="000099"/>
          <w:sz w:val="28"/>
          <w:szCs w:val="28"/>
        </w:rPr>
        <w:t xml:space="preserve"> </w:t>
      </w:r>
      <w:r w:rsidR="00236261">
        <w:rPr>
          <w:color w:val="000099"/>
          <w:sz w:val="28"/>
          <w:szCs w:val="28"/>
        </w:rPr>
        <w:t>Лахтура</w:t>
      </w:r>
      <w:r w:rsidR="00236261">
        <w:rPr>
          <w:color w:val="000099"/>
          <w:sz w:val="28"/>
          <w:szCs w:val="28"/>
        </w:rPr>
        <w:t xml:space="preserve"> Н.А</w:t>
      </w:r>
      <w:r w:rsidR="00EF7CA9">
        <w:rPr>
          <w:color w:val="000099"/>
          <w:sz w:val="28"/>
          <w:szCs w:val="28"/>
        </w:rPr>
        <w:t>.</w:t>
      </w:r>
      <w:r w:rsidR="00785CC7">
        <w:rPr>
          <w:color w:val="000099"/>
          <w:sz w:val="28"/>
          <w:szCs w:val="28"/>
        </w:rPr>
        <w:t xml:space="preserve">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Мазда 3 г/ н </w:t>
      </w:r>
      <w:r w:rsidR="004C6CB5">
        <w:rPr>
          <w:color w:val="000099"/>
          <w:sz w:val="28"/>
          <w:szCs w:val="28"/>
        </w:rPr>
        <w:t>*</w:t>
      </w:r>
      <w:r w:rsidR="0094067A">
        <w:rPr>
          <w:color w:val="000099"/>
          <w:sz w:val="28"/>
          <w:szCs w:val="28"/>
        </w:rPr>
        <w:t xml:space="preserve"> 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236261" w:rsidP="00236261" w14:paraId="1E6D5535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6F6E46" w:rsidRPr="00A41B02" w:rsidP="00CE7C9A" w14:paraId="1B1F068A" w14:textId="4C5B5D1B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0C47FE31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06634D">
        <w:rPr>
          <w:color w:val="000099"/>
          <w:sz w:val="28"/>
          <w:szCs w:val="28"/>
        </w:rPr>
        <w:t>Лухтур</w:t>
      </w:r>
      <w:r w:rsidR="00236261">
        <w:rPr>
          <w:color w:val="000099"/>
          <w:sz w:val="28"/>
          <w:szCs w:val="28"/>
        </w:rPr>
        <w:t>а</w:t>
      </w:r>
      <w:r w:rsidR="0006634D">
        <w:rPr>
          <w:color w:val="000099"/>
          <w:sz w:val="28"/>
          <w:szCs w:val="28"/>
        </w:rPr>
        <w:t xml:space="preserve"> Н.А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2A9B8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4C6CB5">
        <w:rPr>
          <w:color w:val="0000CC"/>
          <w:sz w:val="28"/>
          <w:szCs w:val="28"/>
        </w:rPr>
        <w:t>***</w:t>
      </w:r>
      <w:r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76153B">
        <w:rPr>
          <w:sz w:val="28"/>
          <w:szCs w:val="28"/>
        </w:rPr>
        <w:t>и действия по составлению процессуальных документов в отношении него без участия понятых</w:t>
      </w:r>
      <w:r>
        <w:rPr>
          <w:sz w:val="28"/>
          <w:szCs w:val="28"/>
        </w:rPr>
        <w:t>.</w:t>
      </w:r>
    </w:p>
    <w:p w:rsidR="00703038" w:rsidRPr="00B1137B" w:rsidP="000E2A9B" w14:paraId="2E89FB74" w14:textId="5F475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598EE354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BF3513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BF3513">
        <w:rPr>
          <w:sz w:val="28"/>
          <w:szCs w:val="28"/>
        </w:rPr>
        <w:t xml:space="preserve"> </w:t>
      </w:r>
      <w:r w:rsidR="00F01496">
        <w:rPr>
          <w:sz w:val="28"/>
          <w:szCs w:val="28"/>
        </w:rPr>
        <w:t xml:space="preserve">медицинского освидетельствования на состояние опьянения </w:t>
      </w:r>
      <w:r w:rsidR="000E2A9B">
        <w:rPr>
          <w:sz w:val="28"/>
          <w:szCs w:val="28"/>
        </w:rPr>
        <w:t xml:space="preserve">(алкогольного, наркотического или иного токсического) </w:t>
      </w:r>
      <w:r w:rsidR="00F01496">
        <w:rPr>
          <w:sz w:val="28"/>
          <w:szCs w:val="28"/>
        </w:rPr>
        <w:t xml:space="preserve">за № </w:t>
      </w:r>
      <w:r w:rsidR="004C6CB5">
        <w:rPr>
          <w:sz w:val="28"/>
          <w:szCs w:val="28"/>
        </w:rPr>
        <w:t>*</w:t>
      </w:r>
      <w:r w:rsidR="00F014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A743B">
        <w:rPr>
          <w:color w:val="000099"/>
          <w:sz w:val="28"/>
          <w:szCs w:val="28"/>
        </w:rPr>
        <w:t xml:space="preserve">у </w:t>
      </w:r>
      <w:r w:rsidR="0006634D">
        <w:rPr>
          <w:color w:val="000099"/>
          <w:sz w:val="28"/>
          <w:szCs w:val="28"/>
        </w:rPr>
        <w:t>Лухтур</w:t>
      </w:r>
      <w:r w:rsidR="00236261">
        <w:rPr>
          <w:color w:val="000099"/>
          <w:sz w:val="28"/>
          <w:szCs w:val="28"/>
        </w:rPr>
        <w:t>а</w:t>
      </w:r>
      <w:r w:rsidR="0006634D">
        <w:rPr>
          <w:color w:val="000099"/>
          <w:sz w:val="28"/>
          <w:szCs w:val="28"/>
        </w:rPr>
        <w:t xml:space="preserve"> Н.А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состояние опьянения</w:t>
      </w:r>
      <w:r>
        <w:rPr>
          <w:sz w:val="28"/>
          <w:szCs w:val="28"/>
        </w:rPr>
        <w:t xml:space="preserve">.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0E2A9B" w:rsidRPr="00B061B0" w:rsidP="000E2A9B" w14:paraId="6EC9EA3A" w14:textId="0C269922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06634D">
        <w:rPr>
          <w:color w:val="000099"/>
          <w:sz w:val="28"/>
          <w:szCs w:val="28"/>
        </w:rPr>
        <w:t>Лухтур</w:t>
      </w:r>
      <w:r w:rsidR="00236261">
        <w:rPr>
          <w:color w:val="000099"/>
          <w:sz w:val="28"/>
          <w:szCs w:val="28"/>
        </w:rPr>
        <w:t>а</w:t>
      </w:r>
      <w:r w:rsidR="0006634D">
        <w:rPr>
          <w:color w:val="000099"/>
          <w:sz w:val="28"/>
          <w:szCs w:val="28"/>
        </w:rPr>
        <w:t xml:space="preserve"> Н.А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Pr="00516CF2" w:rsidR="004636D3">
        <w:rPr>
          <w:sz w:val="28"/>
          <w:szCs w:val="28"/>
        </w:rPr>
        <w:t xml:space="preserve"> Обстоятельств</w:t>
      </w:r>
      <w:r w:rsidRPr="00516CF2" w:rsidR="00BF5F4E">
        <w:rPr>
          <w:sz w:val="28"/>
          <w:szCs w:val="28"/>
        </w:rPr>
        <w:t>,</w:t>
      </w:r>
      <w:r w:rsidRPr="00516CF2" w:rsidR="004636D3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516CF2" w:rsidR="004636D3">
        <w:rPr>
          <w:sz w:val="28"/>
          <w:szCs w:val="28"/>
        </w:rPr>
        <w:t xml:space="preserve"> административному ответственность</w:t>
      </w:r>
      <w:r w:rsidRPr="00516CF2" w:rsidR="00BF5F4E">
        <w:rPr>
          <w:sz w:val="28"/>
          <w:szCs w:val="28"/>
        </w:rPr>
        <w:t>,</w:t>
      </w:r>
      <w:r w:rsidRPr="00516CF2" w:rsidR="004636D3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делу не установлено</w:t>
      </w:r>
      <w:r w:rsidR="000A58CE">
        <w:rPr>
          <w:sz w:val="28"/>
          <w:szCs w:val="28"/>
        </w:rPr>
        <w:t>.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06634D">
        <w:rPr>
          <w:sz w:val="28"/>
          <w:szCs w:val="28"/>
        </w:rPr>
        <w:t>Лухтур</w:t>
      </w:r>
      <w:r w:rsidR="00236261">
        <w:rPr>
          <w:sz w:val="28"/>
          <w:szCs w:val="28"/>
        </w:rPr>
        <w:t>а</w:t>
      </w:r>
      <w:r w:rsidR="0006634D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, т</w:t>
      </w:r>
      <w:r w:rsidRPr="00B061B0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</w:p>
    <w:p w:rsidR="00703038" w:rsidRPr="00B1137B" w:rsidP="00B75160" w14:paraId="46191694" w14:textId="0AD48359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3309E891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Лухтур</w:t>
      </w:r>
      <w:r w:rsidR="00096BAA">
        <w:rPr>
          <w:color w:val="000099"/>
          <w:sz w:val="28"/>
          <w:szCs w:val="28"/>
        </w:rPr>
        <w:t>а</w:t>
      </w:r>
      <w:r>
        <w:rPr>
          <w:color w:val="000099"/>
          <w:sz w:val="28"/>
          <w:szCs w:val="28"/>
        </w:rPr>
        <w:t xml:space="preserve"> Никиту Алексеевича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5D845634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</w:t>
      </w:r>
      <w:r w:rsidR="0006634D">
        <w:rPr>
          <w:sz w:val="28"/>
          <w:szCs w:val="28"/>
        </w:rPr>
        <w:t>1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6F9E2A91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096BAA">
        <w:rPr>
          <w:color w:val="000099"/>
          <w:sz w:val="28"/>
          <w:szCs w:val="28"/>
        </w:rPr>
        <w:t>Лухтура</w:t>
      </w:r>
      <w:r w:rsidR="00096BAA">
        <w:rPr>
          <w:color w:val="000099"/>
          <w:sz w:val="28"/>
          <w:szCs w:val="28"/>
        </w:rPr>
        <w:t xml:space="preserve"> Н.А</w:t>
      </w:r>
      <w:r w:rsidR="00EF7CA9">
        <w:rPr>
          <w:color w:val="000099"/>
          <w:sz w:val="28"/>
          <w:szCs w:val="28"/>
        </w:rPr>
        <w:t xml:space="preserve">.,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</w:t>
      </w:r>
      <w:r w:rsidRPr="00B1137B">
        <w:rPr>
          <w:sz w:val="28"/>
          <w:szCs w:val="28"/>
        </w:rPr>
        <w:t xml:space="preserve">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6B297CE9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06634D">
        <w:rPr>
          <w:sz w:val="28"/>
          <w:szCs w:val="28"/>
        </w:rPr>
        <w:t>3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3246EA" w:rsidP="00B75160" w14:paraId="00A85F87" w14:textId="5750A42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AA">
          <w:rPr>
            <w:noProof/>
          </w:rPr>
          <w:t>3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7A23"/>
    <w:rsid w:val="00057A74"/>
    <w:rsid w:val="00060D11"/>
    <w:rsid w:val="0006634D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96BAA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261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F09F8"/>
    <w:rsid w:val="003F32FB"/>
    <w:rsid w:val="003F4B0B"/>
    <w:rsid w:val="004035A2"/>
    <w:rsid w:val="00404DD9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97903"/>
    <w:rsid w:val="004A0098"/>
    <w:rsid w:val="004A03DC"/>
    <w:rsid w:val="004A03E9"/>
    <w:rsid w:val="004A11C6"/>
    <w:rsid w:val="004A215B"/>
    <w:rsid w:val="004A5CE5"/>
    <w:rsid w:val="004B7E34"/>
    <w:rsid w:val="004C2CC2"/>
    <w:rsid w:val="004C6CB5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067A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47CF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3FF9"/>
    <w:rsid w:val="00EB4924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3BF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